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641" w:rsidRDefault="00FE5A51" w:rsidP="00D90A4E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DPP</w:t>
      </w:r>
      <w:r w:rsidR="000E4CD5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D90A4E">
        <w:rPr>
          <w:rFonts w:ascii="Arial" w:hAnsi="Arial" w:cs="Arial"/>
          <w:b/>
          <w:sz w:val="20"/>
          <w:szCs w:val="20"/>
        </w:rPr>
        <w:t>Annual General Mandate 2020</w:t>
      </w:r>
    </w:p>
    <w:p w:rsidR="006B36E8" w:rsidRDefault="00B70D7E" w:rsidP="002B19B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857249">
        <w:rPr>
          <w:rFonts w:ascii="Arial" w:hAnsi="Arial" w:cs="Arial"/>
          <w:sz w:val="20"/>
          <w:szCs w:val="20"/>
        </w:rPr>
        <w:t>1</w:t>
      </w:r>
      <w:r w:rsidR="00D90A4E">
        <w:rPr>
          <w:rFonts w:ascii="Arial" w:hAnsi="Arial" w:cs="Arial"/>
          <w:sz w:val="20"/>
          <w:szCs w:val="20"/>
        </w:rPr>
        <w:t>3</w:t>
      </w:r>
      <w:r w:rsidR="00CB62A1">
        <w:rPr>
          <w:rFonts w:ascii="Arial" w:hAnsi="Arial" w:cs="Arial"/>
          <w:sz w:val="20"/>
          <w:szCs w:val="20"/>
        </w:rPr>
        <w:t xml:space="preserve"> May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FE5A51" w:rsidRPr="00FE5A51">
        <w:rPr>
          <w:rFonts w:ascii="Arial" w:hAnsi="Arial" w:cs="Arial"/>
          <w:sz w:val="20"/>
          <w:szCs w:val="20"/>
        </w:rPr>
        <w:t xml:space="preserve">Dong </w:t>
      </w:r>
      <w:proofErr w:type="spellStart"/>
      <w:r w:rsidR="00FE5A51" w:rsidRPr="00FE5A51">
        <w:rPr>
          <w:rFonts w:ascii="Arial" w:hAnsi="Arial" w:cs="Arial"/>
          <w:sz w:val="20"/>
          <w:szCs w:val="20"/>
        </w:rPr>
        <w:t>Nai</w:t>
      </w:r>
      <w:proofErr w:type="spellEnd"/>
      <w:r w:rsidR="00FE5A51" w:rsidRPr="00FE5A51">
        <w:rPr>
          <w:rFonts w:ascii="Arial" w:hAnsi="Arial" w:cs="Arial"/>
          <w:sz w:val="20"/>
          <w:szCs w:val="20"/>
        </w:rPr>
        <w:t xml:space="preserve"> Pharmaceutical Joint Stock Company</w:t>
      </w:r>
      <w:r w:rsidR="00FE5A51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AC6BEF">
        <w:rPr>
          <w:rFonts w:ascii="Arial" w:hAnsi="Arial" w:cs="Arial"/>
          <w:sz w:val="20"/>
          <w:szCs w:val="20"/>
        </w:rPr>
        <w:t xml:space="preserve"> </w:t>
      </w:r>
      <w:r w:rsidR="00D90A4E">
        <w:rPr>
          <w:rFonts w:ascii="Arial" w:hAnsi="Arial" w:cs="Arial"/>
          <w:sz w:val="20"/>
          <w:szCs w:val="20"/>
        </w:rPr>
        <w:t>annual General Mandate 2020</w:t>
      </w:r>
      <w:r w:rsidR="002B19B9" w:rsidRPr="002B19B9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FE5A51" w:rsidRDefault="00FE5A51" w:rsidP="00FE5A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1:</w:t>
      </w:r>
      <w:r w:rsidRPr="00FE5A51">
        <w:rPr>
          <w:rFonts w:ascii="Arial" w:hAnsi="Arial" w:cs="Arial"/>
          <w:sz w:val="20"/>
          <w:szCs w:val="20"/>
        </w:rPr>
        <w:t xml:space="preserve"> The </w:t>
      </w:r>
      <w:r>
        <w:rPr>
          <w:rFonts w:ascii="Arial" w:hAnsi="Arial" w:cs="Arial"/>
          <w:sz w:val="20"/>
          <w:szCs w:val="20"/>
        </w:rPr>
        <w:t>annual General Meeting of Shareholders</w:t>
      </w:r>
      <w:r w:rsidRPr="00FE5A51">
        <w:rPr>
          <w:rFonts w:ascii="Arial" w:hAnsi="Arial" w:cs="Arial"/>
          <w:sz w:val="20"/>
          <w:szCs w:val="20"/>
        </w:rPr>
        <w:t xml:space="preserve"> approved the following contents: </w:t>
      </w:r>
    </w:p>
    <w:p w:rsidR="00FE5A51" w:rsidRDefault="00FE5A51" w:rsidP="00FE5A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E5A51">
        <w:rPr>
          <w:rFonts w:ascii="Arial" w:hAnsi="Arial" w:cs="Arial"/>
          <w:sz w:val="20"/>
          <w:szCs w:val="20"/>
        </w:rPr>
        <w:t xml:space="preserve">1. Approving the </w:t>
      </w:r>
      <w:r>
        <w:rPr>
          <w:rFonts w:ascii="Arial" w:hAnsi="Arial" w:cs="Arial"/>
          <w:sz w:val="20"/>
          <w:szCs w:val="20"/>
        </w:rPr>
        <w:t>financial statement</w:t>
      </w:r>
      <w:r w:rsidRPr="00FE5A51">
        <w:rPr>
          <w:rFonts w:ascii="Arial" w:hAnsi="Arial" w:cs="Arial"/>
          <w:sz w:val="20"/>
          <w:szCs w:val="20"/>
        </w:rPr>
        <w:t xml:space="preserve"> for the fiscal year ended on December 31, 2019 of Dong </w:t>
      </w:r>
      <w:proofErr w:type="spellStart"/>
      <w:r w:rsidRPr="00FE5A51">
        <w:rPr>
          <w:rFonts w:ascii="Arial" w:hAnsi="Arial" w:cs="Arial"/>
          <w:sz w:val="20"/>
          <w:szCs w:val="20"/>
        </w:rPr>
        <w:t>Nai</w:t>
      </w:r>
      <w:proofErr w:type="spellEnd"/>
      <w:r w:rsidRPr="00FE5A51">
        <w:rPr>
          <w:rFonts w:ascii="Arial" w:hAnsi="Arial" w:cs="Arial"/>
          <w:sz w:val="20"/>
          <w:szCs w:val="20"/>
        </w:rPr>
        <w:t xml:space="preserve"> Pharmaceutical Joint Stock Company audited by </w:t>
      </w:r>
      <w:r w:rsidRPr="00FE5A51">
        <w:rPr>
          <w:rFonts w:ascii="Arial" w:hAnsi="Arial" w:cs="Arial"/>
          <w:sz w:val="20"/>
          <w:szCs w:val="20"/>
        </w:rPr>
        <w:t>AASC</w:t>
      </w:r>
      <w:r>
        <w:rPr>
          <w:rFonts w:ascii="Arial" w:hAnsi="Arial" w:cs="Arial"/>
          <w:sz w:val="20"/>
          <w:szCs w:val="20"/>
        </w:rPr>
        <w:t xml:space="preserve"> Auditing</w:t>
      </w:r>
      <w:r w:rsidRPr="00FE5A51">
        <w:rPr>
          <w:rFonts w:ascii="Arial" w:hAnsi="Arial" w:cs="Arial"/>
          <w:sz w:val="20"/>
          <w:szCs w:val="20"/>
        </w:rPr>
        <w:t xml:space="preserve"> Firm </w:t>
      </w:r>
      <w:r>
        <w:rPr>
          <w:rFonts w:ascii="Arial" w:hAnsi="Arial" w:cs="Arial"/>
          <w:sz w:val="20"/>
          <w:szCs w:val="20"/>
        </w:rPr>
        <w:t>Co., Ltd</w:t>
      </w:r>
    </w:p>
    <w:p w:rsidR="00FE5A51" w:rsidRDefault="00FE5A51" w:rsidP="00FE5A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E5A51">
        <w:rPr>
          <w:rFonts w:ascii="Arial" w:hAnsi="Arial" w:cs="Arial"/>
          <w:sz w:val="20"/>
          <w:szCs w:val="20"/>
        </w:rPr>
        <w:t>2. Approve the Report on business results</w:t>
      </w:r>
      <w:r>
        <w:rPr>
          <w:rFonts w:ascii="Arial" w:hAnsi="Arial" w:cs="Arial"/>
          <w:sz w:val="20"/>
          <w:szCs w:val="20"/>
        </w:rPr>
        <w:t xml:space="preserve"> and profit distribution plan for</w:t>
      </w:r>
      <w:r w:rsidRPr="00FE5A51">
        <w:rPr>
          <w:rFonts w:ascii="Arial" w:hAnsi="Arial" w:cs="Arial"/>
          <w:sz w:val="20"/>
          <w:szCs w:val="20"/>
        </w:rPr>
        <w:t xml:space="preserve"> 2019, specifically as follows: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"/>
        <w:gridCol w:w="6566"/>
        <w:gridCol w:w="2538"/>
      </w:tblGrid>
      <w:tr w:rsidR="00FE5A51" w:rsidTr="00ED4564">
        <w:tc>
          <w:tcPr>
            <w:tcW w:w="472" w:type="dxa"/>
          </w:tcPr>
          <w:p w:rsidR="00FE5A51" w:rsidRDefault="00FE5A51" w:rsidP="00FE5A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6566" w:type="dxa"/>
          </w:tcPr>
          <w:p w:rsidR="00FE5A51" w:rsidRDefault="00FE5A51" w:rsidP="00FE5A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Indicator</w:t>
            </w:r>
          </w:p>
        </w:tc>
        <w:tc>
          <w:tcPr>
            <w:tcW w:w="2538" w:type="dxa"/>
          </w:tcPr>
          <w:p w:rsidR="00FE5A51" w:rsidRDefault="00FE5A51" w:rsidP="00FE5A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Amount (VND)</w:t>
            </w:r>
          </w:p>
        </w:tc>
      </w:tr>
      <w:tr w:rsidR="00FE5A51" w:rsidTr="00ED4564">
        <w:tc>
          <w:tcPr>
            <w:tcW w:w="472" w:type="dxa"/>
          </w:tcPr>
          <w:p w:rsidR="00FE5A51" w:rsidRDefault="00FE5A51" w:rsidP="00FE5A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</w:tcPr>
          <w:p w:rsidR="00FE5A51" w:rsidRDefault="00FE5A51" w:rsidP="00FE5A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revenue</w:t>
            </w:r>
          </w:p>
        </w:tc>
        <w:tc>
          <w:tcPr>
            <w:tcW w:w="2538" w:type="dxa"/>
          </w:tcPr>
          <w:p w:rsidR="00FE5A51" w:rsidRDefault="00FE5A51" w:rsidP="00FE5A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5A51">
              <w:rPr>
                <w:rFonts w:ascii="Arial" w:hAnsi="Arial" w:cs="Arial"/>
                <w:sz w:val="20"/>
                <w:szCs w:val="20"/>
              </w:rPr>
              <w:t>279,311,043,669</w:t>
            </w:r>
          </w:p>
        </w:tc>
      </w:tr>
      <w:tr w:rsidR="00FE5A51" w:rsidTr="00ED4564">
        <w:tc>
          <w:tcPr>
            <w:tcW w:w="472" w:type="dxa"/>
          </w:tcPr>
          <w:p w:rsidR="00FE5A51" w:rsidRDefault="00FE5A51" w:rsidP="00FE5A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566" w:type="dxa"/>
          </w:tcPr>
          <w:p w:rsidR="00FE5A51" w:rsidRDefault="00FE5A51" w:rsidP="00FE5A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Profit before tax </w:t>
            </w:r>
          </w:p>
        </w:tc>
        <w:tc>
          <w:tcPr>
            <w:tcW w:w="2538" w:type="dxa"/>
          </w:tcPr>
          <w:p w:rsidR="00FE5A51" w:rsidRDefault="00FE5A51" w:rsidP="00FE5A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5A51">
              <w:rPr>
                <w:rFonts w:ascii="Arial" w:hAnsi="Arial" w:cs="Arial"/>
                <w:sz w:val="20"/>
                <w:szCs w:val="20"/>
              </w:rPr>
              <w:t xml:space="preserve">7,219,918,471  </w:t>
            </w:r>
          </w:p>
        </w:tc>
      </w:tr>
      <w:tr w:rsidR="00FE5A51" w:rsidTr="00ED4564">
        <w:tc>
          <w:tcPr>
            <w:tcW w:w="472" w:type="dxa"/>
          </w:tcPr>
          <w:p w:rsidR="00FE5A51" w:rsidRDefault="00FE5A51" w:rsidP="00FE5A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566" w:type="dxa"/>
          </w:tcPr>
          <w:p w:rsidR="00FE5A51" w:rsidRDefault="00FE5A51" w:rsidP="00FE5A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Extraction to funds (25%)</w:t>
            </w:r>
          </w:p>
        </w:tc>
        <w:tc>
          <w:tcPr>
            <w:tcW w:w="2538" w:type="dxa"/>
          </w:tcPr>
          <w:p w:rsidR="00FE5A51" w:rsidRDefault="00FE5A51" w:rsidP="00FE5A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5A51">
              <w:rPr>
                <w:rFonts w:ascii="Arial" w:hAnsi="Arial" w:cs="Arial"/>
                <w:sz w:val="20"/>
                <w:szCs w:val="20"/>
              </w:rPr>
              <w:t>1,448,743,935</w:t>
            </w:r>
          </w:p>
        </w:tc>
      </w:tr>
      <w:tr w:rsidR="00FE5A51" w:rsidTr="00ED4564">
        <w:tc>
          <w:tcPr>
            <w:tcW w:w="472" w:type="dxa"/>
          </w:tcPr>
          <w:p w:rsidR="00FE5A51" w:rsidRDefault="00FE5A51" w:rsidP="00FE5A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6" w:type="dxa"/>
          </w:tcPr>
          <w:p w:rsidR="00FE5A51" w:rsidRDefault="00FE5A51" w:rsidP="00FE5A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 Investment and Development Fund (10%)</w:t>
            </w:r>
          </w:p>
        </w:tc>
        <w:tc>
          <w:tcPr>
            <w:tcW w:w="2538" w:type="dxa"/>
          </w:tcPr>
          <w:p w:rsidR="00FE5A51" w:rsidRDefault="00FE5A51" w:rsidP="00FE5A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5A51">
              <w:rPr>
                <w:rFonts w:ascii="Arial" w:hAnsi="Arial" w:cs="Arial"/>
                <w:sz w:val="20"/>
                <w:szCs w:val="20"/>
              </w:rPr>
              <w:t>579,497,574</w:t>
            </w:r>
          </w:p>
        </w:tc>
      </w:tr>
      <w:tr w:rsidR="00FE5A51" w:rsidTr="00ED4564">
        <w:tc>
          <w:tcPr>
            <w:tcW w:w="472" w:type="dxa"/>
          </w:tcPr>
          <w:p w:rsidR="00FE5A51" w:rsidRDefault="00FE5A51" w:rsidP="00FE5A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6" w:type="dxa"/>
          </w:tcPr>
          <w:p w:rsidR="00FE5A51" w:rsidRDefault="00FE5A51" w:rsidP="00FE5A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 Welfare fund (10%)</w:t>
            </w:r>
          </w:p>
        </w:tc>
        <w:tc>
          <w:tcPr>
            <w:tcW w:w="2538" w:type="dxa"/>
          </w:tcPr>
          <w:p w:rsidR="00FE5A51" w:rsidRDefault="00FE5A51" w:rsidP="00FE5A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5A51">
              <w:rPr>
                <w:rFonts w:ascii="Arial" w:hAnsi="Arial" w:cs="Arial"/>
                <w:sz w:val="20"/>
                <w:szCs w:val="20"/>
              </w:rPr>
              <w:t>579,497,574</w:t>
            </w:r>
          </w:p>
        </w:tc>
      </w:tr>
      <w:tr w:rsidR="00FE5A51" w:rsidTr="00ED4564">
        <w:tc>
          <w:tcPr>
            <w:tcW w:w="472" w:type="dxa"/>
          </w:tcPr>
          <w:p w:rsidR="00FE5A51" w:rsidRDefault="00FE5A51" w:rsidP="00FE5A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6" w:type="dxa"/>
          </w:tcPr>
          <w:p w:rsidR="00FE5A51" w:rsidRDefault="00FE5A51" w:rsidP="00FE5A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 Reward fund (5%)</w:t>
            </w:r>
          </w:p>
        </w:tc>
        <w:tc>
          <w:tcPr>
            <w:tcW w:w="2538" w:type="dxa"/>
          </w:tcPr>
          <w:p w:rsidR="00FE5A51" w:rsidRDefault="00FE5A51" w:rsidP="00FE5A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5A51">
              <w:rPr>
                <w:rFonts w:ascii="Arial" w:hAnsi="Arial" w:cs="Arial"/>
                <w:sz w:val="20"/>
                <w:szCs w:val="20"/>
              </w:rPr>
              <w:t>289,748,787</w:t>
            </w:r>
          </w:p>
        </w:tc>
      </w:tr>
      <w:tr w:rsidR="00FE5A51" w:rsidTr="00ED4564">
        <w:tc>
          <w:tcPr>
            <w:tcW w:w="472" w:type="dxa"/>
          </w:tcPr>
          <w:p w:rsidR="00FE5A51" w:rsidRDefault="00FE5A51" w:rsidP="00FE5A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566" w:type="dxa"/>
          </w:tcPr>
          <w:p w:rsidR="00FE5A51" w:rsidRDefault="00FE5A51" w:rsidP="00FE5A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Dividend payment 2019 (14%)/ charter capital (VND 1,400/ share)</w:t>
            </w:r>
          </w:p>
        </w:tc>
        <w:tc>
          <w:tcPr>
            <w:tcW w:w="2538" w:type="dxa"/>
          </w:tcPr>
          <w:p w:rsidR="00FE5A51" w:rsidRDefault="00FE5A51" w:rsidP="00FE5A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5A51">
              <w:rPr>
                <w:rFonts w:ascii="Arial" w:hAnsi="Arial" w:cs="Arial"/>
                <w:sz w:val="20"/>
                <w:szCs w:val="20"/>
              </w:rPr>
              <w:t>4,200,014,000</w:t>
            </w:r>
          </w:p>
        </w:tc>
      </w:tr>
    </w:tbl>
    <w:p w:rsidR="00FE5A51" w:rsidRDefault="00FE5A51" w:rsidP="00FE5A5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D4564" w:rsidRDefault="00FE5A51" w:rsidP="00FE5A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E5A51">
        <w:rPr>
          <w:rFonts w:ascii="Arial" w:hAnsi="Arial" w:cs="Arial"/>
          <w:sz w:val="20"/>
          <w:szCs w:val="20"/>
        </w:rPr>
        <w:t>3. Approving the Board of Directors' Report on the</w:t>
      </w:r>
      <w:r w:rsidR="00ED4564">
        <w:rPr>
          <w:rFonts w:ascii="Arial" w:hAnsi="Arial" w:cs="Arial"/>
          <w:sz w:val="20"/>
          <w:szCs w:val="20"/>
        </w:rPr>
        <w:t xml:space="preserve"> results of implementing tasks in </w:t>
      </w:r>
      <w:r w:rsidRPr="00FE5A51">
        <w:rPr>
          <w:rFonts w:ascii="Arial" w:hAnsi="Arial" w:cs="Arial"/>
          <w:sz w:val="20"/>
          <w:szCs w:val="20"/>
        </w:rPr>
        <w:t>2019, directi</w:t>
      </w:r>
      <w:r w:rsidR="00ED4564">
        <w:rPr>
          <w:rFonts w:ascii="Arial" w:hAnsi="Arial" w:cs="Arial"/>
          <w:sz w:val="20"/>
          <w:szCs w:val="20"/>
        </w:rPr>
        <w:t>ons and tasks for 2020</w:t>
      </w:r>
    </w:p>
    <w:p w:rsidR="00ED4564" w:rsidRDefault="00FE5A51" w:rsidP="00FE5A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E5A51">
        <w:rPr>
          <w:rFonts w:ascii="Arial" w:hAnsi="Arial" w:cs="Arial"/>
          <w:sz w:val="20"/>
          <w:szCs w:val="20"/>
        </w:rPr>
        <w:t>4. Approving the Supervisory Board</w:t>
      </w:r>
      <w:r w:rsidR="00ED4564">
        <w:rPr>
          <w:rFonts w:ascii="Arial" w:hAnsi="Arial" w:cs="Arial"/>
          <w:sz w:val="20"/>
          <w:szCs w:val="20"/>
        </w:rPr>
        <w:t>'s report on business operation examination in 2019</w:t>
      </w:r>
    </w:p>
    <w:p w:rsidR="00ED4564" w:rsidRDefault="00ED4564" w:rsidP="00FE5A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Approve the dismissal of</w:t>
      </w:r>
      <w:r w:rsidR="00FE5A51" w:rsidRPr="00FE5A51">
        <w:rPr>
          <w:rFonts w:ascii="Arial" w:hAnsi="Arial" w:cs="Arial"/>
          <w:sz w:val="20"/>
          <w:szCs w:val="20"/>
        </w:rPr>
        <w:t xml:space="preserve"> member of the Board of Directors </w:t>
      </w:r>
      <w:r>
        <w:rPr>
          <w:rFonts w:ascii="Arial" w:hAnsi="Arial" w:cs="Arial"/>
          <w:sz w:val="20"/>
          <w:szCs w:val="20"/>
        </w:rPr>
        <w:t>for</w:t>
      </w:r>
      <w:r w:rsidR="00FE5A51" w:rsidRPr="00FE5A51">
        <w:rPr>
          <w:rFonts w:ascii="Arial" w:hAnsi="Arial" w:cs="Arial"/>
          <w:sz w:val="20"/>
          <w:szCs w:val="20"/>
        </w:rPr>
        <w:t xml:space="preserve"> Mr. Pham Thu Trieu from May 18, 2</w:t>
      </w:r>
      <w:r>
        <w:rPr>
          <w:rFonts w:ascii="Arial" w:hAnsi="Arial" w:cs="Arial"/>
          <w:sz w:val="20"/>
          <w:szCs w:val="20"/>
        </w:rPr>
        <w:t>020 on the resignation letter dated</w:t>
      </w:r>
      <w:r w:rsidR="00FE5A51" w:rsidRPr="00FE5A51">
        <w:rPr>
          <w:rFonts w:ascii="Arial" w:hAnsi="Arial" w:cs="Arial"/>
          <w:sz w:val="20"/>
          <w:szCs w:val="20"/>
        </w:rPr>
        <w:t xml:space="preserve"> November 5, 2019 and to </w:t>
      </w:r>
      <w:r>
        <w:rPr>
          <w:rFonts w:ascii="Arial" w:hAnsi="Arial" w:cs="Arial"/>
          <w:sz w:val="20"/>
          <w:szCs w:val="20"/>
        </w:rPr>
        <w:t>election of</w:t>
      </w:r>
      <w:r w:rsidR="00FE5A51" w:rsidRPr="00FE5A51">
        <w:rPr>
          <w:rFonts w:ascii="Arial" w:hAnsi="Arial" w:cs="Arial"/>
          <w:sz w:val="20"/>
          <w:szCs w:val="20"/>
        </w:rPr>
        <w:t xml:space="preserve"> additional members of the Board of Directors </w:t>
      </w:r>
      <w:r>
        <w:rPr>
          <w:rFonts w:ascii="Arial" w:hAnsi="Arial" w:cs="Arial"/>
          <w:sz w:val="20"/>
          <w:szCs w:val="20"/>
        </w:rPr>
        <w:t>of</w:t>
      </w:r>
      <w:r w:rsidR="00FE5A51" w:rsidRPr="00FE5A51">
        <w:rPr>
          <w:rFonts w:ascii="Arial" w:hAnsi="Arial" w:cs="Arial"/>
          <w:sz w:val="20"/>
          <w:szCs w:val="20"/>
        </w:rPr>
        <w:t xml:space="preserve"> Dong </w:t>
      </w:r>
      <w:proofErr w:type="spellStart"/>
      <w:r w:rsidR="00FE5A51" w:rsidRPr="00FE5A51">
        <w:rPr>
          <w:rFonts w:ascii="Arial" w:hAnsi="Arial" w:cs="Arial"/>
          <w:sz w:val="20"/>
          <w:szCs w:val="20"/>
        </w:rPr>
        <w:t>Nai</w:t>
      </w:r>
      <w:proofErr w:type="spellEnd"/>
      <w:r w:rsidR="00FE5A51" w:rsidRPr="00FE5A51">
        <w:rPr>
          <w:rFonts w:ascii="Arial" w:hAnsi="Arial" w:cs="Arial"/>
          <w:sz w:val="20"/>
          <w:szCs w:val="20"/>
        </w:rPr>
        <w:t xml:space="preserve"> Pharmaceutical Joint Stock Company for the </w:t>
      </w:r>
      <w:r>
        <w:rPr>
          <w:rFonts w:ascii="Arial" w:hAnsi="Arial" w:cs="Arial"/>
          <w:sz w:val="20"/>
          <w:szCs w:val="20"/>
        </w:rPr>
        <w:t xml:space="preserve">third term (2016 - 2020): Mr. Quach </w:t>
      </w:r>
      <w:proofErr w:type="spellStart"/>
      <w:r>
        <w:rPr>
          <w:rFonts w:ascii="Arial" w:hAnsi="Arial" w:cs="Arial"/>
          <w:sz w:val="20"/>
          <w:szCs w:val="20"/>
        </w:rPr>
        <w:t>Trong</w:t>
      </w:r>
      <w:proofErr w:type="spellEnd"/>
      <w:r>
        <w:rPr>
          <w:rFonts w:ascii="Arial" w:hAnsi="Arial" w:cs="Arial"/>
          <w:sz w:val="20"/>
          <w:szCs w:val="20"/>
        </w:rPr>
        <w:t xml:space="preserve"> Nguyen</w:t>
      </w:r>
    </w:p>
    <w:p w:rsidR="00ED4564" w:rsidRDefault="00FE5A51" w:rsidP="00FE5A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E5A51">
        <w:rPr>
          <w:rFonts w:ascii="Arial" w:hAnsi="Arial" w:cs="Arial"/>
          <w:sz w:val="20"/>
          <w:szCs w:val="20"/>
        </w:rPr>
        <w:t xml:space="preserve">6. Approving the Business Plan for 2020, with the following main targets: </w:t>
      </w:r>
    </w:p>
    <w:p w:rsidR="00ED4564" w:rsidRDefault="00FE5A51" w:rsidP="00FE5A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E5A51">
        <w:rPr>
          <w:rFonts w:ascii="Arial" w:hAnsi="Arial" w:cs="Arial"/>
          <w:sz w:val="20"/>
          <w:szCs w:val="20"/>
        </w:rPr>
        <w:t xml:space="preserve">- Turnover: VND 300 billion  </w:t>
      </w:r>
    </w:p>
    <w:p w:rsidR="00ED4564" w:rsidRDefault="00ED4564" w:rsidP="00FE5A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FE5A51" w:rsidRPr="00FE5A51">
        <w:rPr>
          <w:rFonts w:ascii="Arial" w:hAnsi="Arial" w:cs="Arial"/>
          <w:sz w:val="20"/>
          <w:szCs w:val="20"/>
        </w:rPr>
        <w:t>Pr</w:t>
      </w:r>
      <w:r>
        <w:rPr>
          <w:rFonts w:ascii="Arial" w:hAnsi="Arial" w:cs="Arial"/>
          <w:sz w:val="20"/>
          <w:szCs w:val="20"/>
        </w:rPr>
        <w:t>ofit after tax: VND 6.4 billion</w:t>
      </w:r>
    </w:p>
    <w:p w:rsidR="00ED4564" w:rsidRDefault="00FE5A51" w:rsidP="00FE5A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E5A51">
        <w:rPr>
          <w:rFonts w:ascii="Arial" w:hAnsi="Arial" w:cs="Arial"/>
          <w:sz w:val="20"/>
          <w:szCs w:val="20"/>
        </w:rPr>
        <w:t xml:space="preserve">- Dividend: </w:t>
      </w:r>
      <w:r w:rsidR="00ED4564">
        <w:rPr>
          <w:rFonts w:ascii="Arial" w:hAnsi="Arial" w:cs="Arial"/>
          <w:sz w:val="20"/>
          <w:szCs w:val="20"/>
        </w:rPr>
        <w:t xml:space="preserve">a </w:t>
      </w:r>
      <w:r w:rsidRPr="00FE5A51">
        <w:rPr>
          <w:rFonts w:ascii="Arial" w:hAnsi="Arial" w:cs="Arial"/>
          <w:sz w:val="20"/>
          <w:szCs w:val="20"/>
        </w:rPr>
        <w:t xml:space="preserve">minimum </w:t>
      </w:r>
      <w:r w:rsidR="00ED4564">
        <w:rPr>
          <w:rFonts w:ascii="Arial" w:hAnsi="Arial" w:cs="Arial"/>
          <w:sz w:val="20"/>
          <w:szCs w:val="20"/>
        </w:rPr>
        <w:t>of 12%/ c</w:t>
      </w:r>
      <w:r w:rsidRPr="00FE5A51">
        <w:rPr>
          <w:rFonts w:ascii="Arial" w:hAnsi="Arial" w:cs="Arial"/>
          <w:sz w:val="20"/>
          <w:szCs w:val="20"/>
        </w:rPr>
        <w:t xml:space="preserve">harter capital </w:t>
      </w:r>
    </w:p>
    <w:p w:rsidR="00FE5A51" w:rsidRDefault="00ED4564" w:rsidP="00FE5A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Approve the authorization for</w:t>
      </w:r>
      <w:r w:rsidR="00FE5A51" w:rsidRPr="00FE5A51">
        <w:rPr>
          <w:rFonts w:ascii="Arial" w:hAnsi="Arial" w:cs="Arial"/>
          <w:sz w:val="20"/>
          <w:szCs w:val="20"/>
        </w:rPr>
        <w:t xml:space="preserve"> the Board of Directors to select </w:t>
      </w:r>
      <w:r>
        <w:rPr>
          <w:rFonts w:ascii="Arial" w:hAnsi="Arial" w:cs="Arial"/>
          <w:sz w:val="20"/>
          <w:szCs w:val="20"/>
        </w:rPr>
        <w:t xml:space="preserve">an auditing unit for financial statement of 2019 of </w:t>
      </w:r>
      <w:r w:rsidRPr="00ED4564">
        <w:rPr>
          <w:rFonts w:ascii="Arial" w:hAnsi="Arial" w:cs="Arial"/>
          <w:sz w:val="20"/>
          <w:szCs w:val="20"/>
        </w:rPr>
        <w:t xml:space="preserve">Dong </w:t>
      </w:r>
      <w:proofErr w:type="spellStart"/>
      <w:r w:rsidRPr="00ED4564">
        <w:rPr>
          <w:rFonts w:ascii="Arial" w:hAnsi="Arial" w:cs="Arial"/>
          <w:sz w:val="20"/>
          <w:szCs w:val="20"/>
        </w:rPr>
        <w:t>Nai</w:t>
      </w:r>
      <w:proofErr w:type="spellEnd"/>
      <w:r w:rsidRPr="00ED4564">
        <w:rPr>
          <w:rFonts w:ascii="Arial" w:hAnsi="Arial" w:cs="Arial"/>
          <w:sz w:val="20"/>
          <w:szCs w:val="20"/>
        </w:rPr>
        <w:t xml:space="preserve"> Pharmaceutical Joint Stock Company</w:t>
      </w:r>
    </w:p>
    <w:p w:rsidR="00ED4564" w:rsidRDefault="00ED4564" w:rsidP="00ED456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D4564">
        <w:rPr>
          <w:rFonts w:ascii="Arial" w:hAnsi="Arial" w:cs="Arial"/>
          <w:sz w:val="20"/>
          <w:szCs w:val="20"/>
        </w:rPr>
        <w:lastRenderedPageBreak/>
        <w:t>8. Approve t</w:t>
      </w:r>
      <w:r>
        <w:rPr>
          <w:rFonts w:ascii="Arial" w:hAnsi="Arial" w:cs="Arial"/>
          <w:sz w:val="20"/>
          <w:szCs w:val="20"/>
        </w:rPr>
        <w:t>he settlement of remuneration for</w:t>
      </w:r>
      <w:r w:rsidRPr="00ED4564">
        <w:rPr>
          <w:rFonts w:ascii="Arial" w:hAnsi="Arial" w:cs="Arial"/>
          <w:sz w:val="20"/>
          <w:szCs w:val="20"/>
        </w:rPr>
        <w:t xml:space="preserve"> the Board of Directors, </w:t>
      </w:r>
      <w:r>
        <w:rPr>
          <w:rFonts w:ascii="Arial" w:hAnsi="Arial" w:cs="Arial"/>
          <w:sz w:val="20"/>
          <w:szCs w:val="20"/>
        </w:rPr>
        <w:t>Supervisor Board</w:t>
      </w:r>
      <w:r w:rsidRPr="00ED4564">
        <w:rPr>
          <w:rFonts w:ascii="Arial" w:hAnsi="Arial" w:cs="Arial"/>
          <w:sz w:val="20"/>
          <w:szCs w:val="20"/>
        </w:rPr>
        <w:t xml:space="preserve"> and the person in charge </w:t>
      </w:r>
      <w:r>
        <w:rPr>
          <w:rFonts w:ascii="Arial" w:hAnsi="Arial" w:cs="Arial"/>
          <w:sz w:val="20"/>
          <w:szCs w:val="20"/>
        </w:rPr>
        <w:t>of corporate governance in 2019</w:t>
      </w:r>
    </w:p>
    <w:p w:rsidR="00ED4564" w:rsidRDefault="00ED4564" w:rsidP="00ED456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D4564">
        <w:rPr>
          <w:rFonts w:ascii="Arial" w:hAnsi="Arial" w:cs="Arial"/>
          <w:sz w:val="20"/>
          <w:szCs w:val="20"/>
        </w:rPr>
        <w:t>+ Chairman of the Board of Directors (01 person): VND 5,</w:t>
      </w:r>
      <w:r>
        <w:rPr>
          <w:rFonts w:ascii="Arial" w:hAnsi="Arial" w:cs="Arial"/>
          <w:sz w:val="20"/>
          <w:szCs w:val="20"/>
        </w:rPr>
        <w:t>000,000/ person/ month</w:t>
      </w:r>
    </w:p>
    <w:p w:rsidR="00ED4564" w:rsidRDefault="00ED4564" w:rsidP="00ED456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D4564">
        <w:rPr>
          <w:rFonts w:ascii="Arial" w:hAnsi="Arial" w:cs="Arial"/>
          <w:sz w:val="20"/>
          <w:szCs w:val="20"/>
        </w:rPr>
        <w:t>+ Members of the Board of Direc</w:t>
      </w:r>
      <w:r>
        <w:rPr>
          <w:rFonts w:ascii="Arial" w:hAnsi="Arial" w:cs="Arial"/>
          <w:sz w:val="20"/>
          <w:szCs w:val="20"/>
        </w:rPr>
        <w:t>tors (04 people): VND 3,000,000/ person</w:t>
      </w:r>
      <w:r w:rsidRPr="00ED4564">
        <w:rPr>
          <w:rFonts w:ascii="Arial" w:hAnsi="Arial" w:cs="Arial"/>
          <w:sz w:val="20"/>
          <w:szCs w:val="20"/>
        </w:rPr>
        <w:t xml:space="preserve">/ month </w:t>
      </w:r>
    </w:p>
    <w:p w:rsidR="00ED4564" w:rsidRDefault="00ED4564" w:rsidP="00ED456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D4564">
        <w:rPr>
          <w:rFonts w:ascii="Arial" w:hAnsi="Arial" w:cs="Arial"/>
          <w:sz w:val="20"/>
          <w:szCs w:val="20"/>
        </w:rPr>
        <w:t>+ Head of the Supervisory B</w:t>
      </w:r>
      <w:r>
        <w:rPr>
          <w:rFonts w:ascii="Arial" w:hAnsi="Arial" w:cs="Arial"/>
          <w:sz w:val="20"/>
          <w:szCs w:val="20"/>
        </w:rPr>
        <w:t>oard (01 person): VND 2,000,000/ person</w:t>
      </w:r>
      <w:r w:rsidRPr="00ED4564">
        <w:rPr>
          <w:rFonts w:ascii="Arial" w:hAnsi="Arial" w:cs="Arial"/>
          <w:sz w:val="20"/>
          <w:szCs w:val="20"/>
        </w:rPr>
        <w:t xml:space="preserve">/ month </w:t>
      </w:r>
    </w:p>
    <w:p w:rsidR="003607D8" w:rsidRDefault="00ED4564" w:rsidP="00ED456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D4564">
        <w:rPr>
          <w:rFonts w:ascii="Arial" w:hAnsi="Arial" w:cs="Arial"/>
          <w:sz w:val="20"/>
          <w:szCs w:val="20"/>
        </w:rPr>
        <w:t xml:space="preserve">+ </w:t>
      </w:r>
      <w:r w:rsidR="003607D8">
        <w:rPr>
          <w:rFonts w:ascii="Arial" w:hAnsi="Arial" w:cs="Arial"/>
          <w:sz w:val="20"/>
          <w:szCs w:val="20"/>
        </w:rPr>
        <w:t xml:space="preserve">In charge of corporate governance (01 person): </w:t>
      </w:r>
      <w:r w:rsidRPr="00ED4564">
        <w:rPr>
          <w:rFonts w:ascii="Arial" w:hAnsi="Arial" w:cs="Arial"/>
          <w:sz w:val="20"/>
          <w:szCs w:val="20"/>
        </w:rPr>
        <w:t>VND 2,000,000</w:t>
      </w:r>
      <w:r w:rsidR="003607D8">
        <w:rPr>
          <w:rFonts w:ascii="Arial" w:hAnsi="Arial" w:cs="Arial"/>
          <w:sz w:val="20"/>
          <w:szCs w:val="20"/>
        </w:rPr>
        <w:t>/ person</w:t>
      </w:r>
      <w:r w:rsidRPr="00ED4564">
        <w:rPr>
          <w:rFonts w:ascii="Arial" w:hAnsi="Arial" w:cs="Arial"/>
          <w:sz w:val="20"/>
          <w:szCs w:val="20"/>
        </w:rPr>
        <w:t xml:space="preserve">/ month </w:t>
      </w:r>
    </w:p>
    <w:p w:rsidR="003607D8" w:rsidRDefault="00ED4564" w:rsidP="00ED456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D4564">
        <w:rPr>
          <w:rFonts w:ascii="Arial" w:hAnsi="Arial" w:cs="Arial"/>
          <w:sz w:val="20"/>
          <w:szCs w:val="20"/>
        </w:rPr>
        <w:t>+ Member of Supervisory B</w:t>
      </w:r>
      <w:r w:rsidR="003607D8">
        <w:rPr>
          <w:rFonts w:ascii="Arial" w:hAnsi="Arial" w:cs="Arial"/>
          <w:sz w:val="20"/>
          <w:szCs w:val="20"/>
        </w:rPr>
        <w:t>oard (02 people): VND 1,000,000/ person</w:t>
      </w:r>
      <w:r w:rsidRPr="00ED4564">
        <w:rPr>
          <w:rFonts w:ascii="Arial" w:hAnsi="Arial" w:cs="Arial"/>
          <w:sz w:val="20"/>
          <w:szCs w:val="20"/>
        </w:rPr>
        <w:t xml:space="preserve">/ month </w:t>
      </w:r>
    </w:p>
    <w:p w:rsidR="003607D8" w:rsidRDefault="00ED4564" w:rsidP="00ED456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D4564">
        <w:rPr>
          <w:rFonts w:ascii="Arial" w:hAnsi="Arial" w:cs="Arial"/>
          <w:sz w:val="20"/>
          <w:szCs w:val="20"/>
        </w:rPr>
        <w:t xml:space="preserve">Remuneration plan for the Board of Directors, </w:t>
      </w:r>
      <w:r w:rsidR="003607D8">
        <w:rPr>
          <w:rFonts w:ascii="Arial" w:hAnsi="Arial" w:cs="Arial"/>
          <w:sz w:val="20"/>
          <w:szCs w:val="20"/>
        </w:rPr>
        <w:t>Supervisor Board</w:t>
      </w:r>
      <w:r w:rsidRPr="00ED4564">
        <w:rPr>
          <w:rFonts w:ascii="Arial" w:hAnsi="Arial" w:cs="Arial"/>
          <w:sz w:val="20"/>
          <w:szCs w:val="20"/>
        </w:rPr>
        <w:t xml:space="preserve">, and in charge of corporate governance in 2020:  </w:t>
      </w:r>
    </w:p>
    <w:p w:rsidR="003607D8" w:rsidRDefault="00ED4564" w:rsidP="00ED456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D4564">
        <w:rPr>
          <w:rFonts w:ascii="Arial" w:hAnsi="Arial" w:cs="Arial"/>
          <w:sz w:val="20"/>
          <w:szCs w:val="20"/>
        </w:rPr>
        <w:t>+ Chairman of the Board of Direc</w:t>
      </w:r>
      <w:r w:rsidR="003607D8">
        <w:rPr>
          <w:rFonts w:ascii="Arial" w:hAnsi="Arial" w:cs="Arial"/>
          <w:sz w:val="20"/>
          <w:szCs w:val="20"/>
        </w:rPr>
        <w:t>tors (01 person): VND 5,000,000</w:t>
      </w:r>
      <w:r w:rsidRPr="00ED4564">
        <w:rPr>
          <w:rFonts w:ascii="Arial" w:hAnsi="Arial" w:cs="Arial"/>
          <w:sz w:val="20"/>
          <w:szCs w:val="20"/>
        </w:rPr>
        <w:t>/ per</w:t>
      </w:r>
      <w:r w:rsidR="003607D8">
        <w:rPr>
          <w:rFonts w:ascii="Arial" w:hAnsi="Arial" w:cs="Arial"/>
          <w:sz w:val="20"/>
          <w:szCs w:val="20"/>
        </w:rPr>
        <w:t>son/ month</w:t>
      </w:r>
    </w:p>
    <w:p w:rsidR="003607D8" w:rsidRDefault="00ED4564" w:rsidP="00ED456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D4564">
        <w:rPr>
          <w:rFonts w:ascii="Arial" w:hAnsi="Arial" w:cs="Arial"/>
          <w:sz w:val="20"/>
          <w:szCs w:val="20"/>
        </w:rPr>
        <w:t>+ Members of the Board of Direc</w:t>
      </w:r>
      <w:r w:rsidR="003607D8">
        <w:rPr>
          <w:rFonts w:ascii="Arial" w:hAnsi="Arial" w:cs="Arial"/>
          <w:sz w:val="20"/>
          <w:szCs w:val="20"/>
        </w:rPr>
        <w:t>tors (04 people): VND 3,000,000/ person</w:t>
      </w:r>
      <w:r w:rsidRPr="00ED4564">
        <w:rPr>
          <w:rFonts w:ascii="Arial" w:hAnsi="Arial" w:cs="Arial"/>
          <w:sz w:val="20"/>
          <w:szCs w:val="20"/>
        </w:rPr>
        <w:t xml:space="preserve">/ month </w:t>
      </w:r>
    </w:p>
    <w:p w:rsidR="003607D8" w:rsidRDefault="00ED4564" w:rsidP="00ED456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D4564">
        <w:rPr>
          <w:rFonts w:ascii="Arial" w:hAnsi="Arial" w:cs="Arial"/>
          <w:sz w:val="20"/>
          <w:szCs w:val="20"/>
        </w:rPr>
        <w:t>+ Head of the Supervisory B</w:t>
      </w:r>
      <w:r w:rsidR="003607D8">
        <w:rPr>
          <w:rFonts w:ascii="Arial" w:hAnsi="Arial" w:cs="Arial"/>
          <w:sz w:val="20"/>
          <w:szCs w:val="20"/>
        </w:rPr>
        <w:t>oard (01 person): VND 2,000,000/ person</w:t>
      </w:r>
      <w:r w:rsidRPr="00ED4564">
        <w:rPr>
          <w:rFonts w:ascii="Arial" w:hAnsi="Arial" w:cs="Arial"/>
          <w:sz w:val="20"/>
          <w:szCs w:val="20"/>
        </w:rPr>
        <w:t xml:space="preserve">/ month </w:t>
      </w:r>
    </w:p>
    <w:p w:rsidR="003607D8" w:rsidRDefault="00ED4564" w:rsidP="00ED456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D4564">
        <w:rPr>
          <w:rFonts w:ascii="Arial" w:hAnsi="Arial" w:cs="Arial"/>
          <w:sz w:val="20"/>
          <w:szCs w:val="20"/>
        </w:rPr>
        <w:t xml:space="preserve">+ </w:t>
      </w:r>
      <w:r w:rsidR="003607D8">
        <w:rPr>
          <w:rFonts w:ascii="Arial" w:hAnsi="Arial" w:cs="Arial"/>
          <w:sz w:val="20"/>
          <w:szCs w:val="20"/>
        </w:rPr>
        <w:t>In charge of corporate governance (01 person):  VND 2,000,000/ person</w:t>
      </w:r>
      <w:r w:rsidRPr="00ED4564">
        <w:rPr>
          <w:rFonts w:ascii="Arial" w:hAnsi="Arial" w:cs="Arial"/>
          <w:sz w:val="20"/>
          <w:szCs w:val="20"/>
        </w:rPr>
        <w:t xml:space="preserve">/ month </w:t>
      </w:r>
    </w:p>
    <w:p w:rsidR="003607D8" w:rsidRDefault="00ED4564" w:rsidP="00ED456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D4564">
        <w:rPr>
          <w:rFonts w:ascii="Arial" w:hAnsi="Arial" w:cs="Arial"/>
          <w:sz w:val="20"/>
          <w:szCs w:val="20"/>
        </w:rPr>
        <w:t>+ Member of Supervisory B</w:t>
      </w:r>
      <w:r w:rsidR="003607D8">
        <w:rPr>
          <w:rFonts w:ascii="Arial" w:hAnsi="Arial" w:cs="Arial"/>
          <w:sz w:val="20"/>
          <w:szCs w:val="20"/>
        </w:rPr>
        <w:t>oard (02 people): VND 1,000,000/ person/ month</w:t>
      </w:r>
    </w:p>
    <w:p w:rsidR="003607D8" w:rsidRDefault="00ED4564" w:rsidP="00ED456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D4564">
        <w:rPr>
          <w:rFonts w:ascii="Arial" w:hAnsi="Arial" w:cs="Arial"/>
          <w:sz w:val="20"/>
          <w:szCs w:val="20"/>
        </w:rPr>
        <w:t xml:space="preserve">Reward levels for the Board of Directors, Supervisory Board, </w:t>
      </w:r>
      <w:r w:rsidR="003607D8">
        <w:rPr>
          <w:rFonts w:ascii="Arial" w:hAnsi="Arial" w:cs="Arial"/>
          <w:sz w:val="20"/>
          <w:szCs w:val="20"/>
        </w:rPr>
        <w:t>in charge of corporate g</w:t>
      </w:r>
      <w:r w:rsidRPr="00ED4564">
        <w:rPr>
          <w:rFonts w:ascii="Arial" w:hAnsi="Arial" w:cs="Arial"/>
          <w:sz w:val="20"/>
          <w:szCs w:val="20"/>
        </w:rPr>
        <w:t>overnance and Management Board in 2020: The reward level shall not exceed 20% of the profit exceeding the plan decided by the Bo</w:t>
      </w:r>
      <w:r w:rsidR="003607D8">
        <w:rPr>
          <w:rFonts w:ascii="Arial" w:hAnsi="Arial" w:cs="Arial"/>
          <w:sz w:val="20"/>
          <w:szCs w:val="20"/>
        </w:rPr>
        <w:t>ard of Directors of the Company</w:t>
      </w:r>
    </w:p>
    <w:p w:rsidR="003607D8" w:rsidRDefault="00ED4564" w:rsidP="00ED456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D4564">
        <w:rPr>
          <w:rFonts w:ascii="Arial" w:hAnsi="Arial" w:cs="Arial"/>
          <w:sz w:val="20"/>
          <w:szCs w:val="20"/>
        </w:rPr>
        <w:t xml:space="preserve">9. </w:t>
      </w:r>
      <w:r w:rsidR="003607D8">
        <w:rPr>
          <w:rFonts w:ascii="Arial" w:hAnsi="Arial" w:cs="Arial"/>
          <w:sz w:val="20"/>
          <w:szCs w:val="20"/>
        </w:rPr>
        <w:t>Approve the Statement</w:t>
      </w:r>
      <w:r w:rsidRPr="00ED4564">
        <w:rPr>
          <w:rFonts w:ascii="Arial" w:hAnsi="Arial" w:cs="Arial"/>
          <w:sz w:val="20"/>
          <w:szCs w:val="20"/>
        </w:rPr>
        <w:t xml:space="preserve"> on the use of the remaining </w:t>
      </w:r>
      <w:r w:rsidR="003607D8">
        <w:rPr>
          <w:rFonts w:ascii="Arial" w:hAnsi="Arial" w:cs="Arial"/>
          <w:sz w:val="20"/>
          <w:szCs w:val="20"/>
        </w:rPr>
        <w:t>proceeds</w:t>
      </w:r>
      <w:r w:rsidRPr="00ED4564">
        <w:rPr>
          <w:rFonts w:ascii="Arial" w:hAnsi="Arial" w:cs="Arial"/>
          <w:sz w:val="20"/>
          <w:szCs w:val="20"/>
        </w:rPr>
        <w:t xml:space="preserve"> of VND 165,000,000 of the issuance of shares to increase charter capital to invest in production equipment</w:t>
      </w:r>
      <w:r w:rsidR="003607D8">
        <w:rPr>
          <w:rFonts w:ascii="Arial" w:hAnsi="Arial" w:cs="Arial"/>
          <w:sz w:val="20"/>
          <w:szCs w:val="20"/>
        </w:rPr>
        <w:t>. In case this</w:t>
      </w:r>
      <w:r w:rsidRPr="00ED4564">
        <w:rPr>
          <w:rFonts w:ascii="Arial" w:hAnsi="Arial" w:cs="Arial"/>
          <w:sz w:val="20"/>
          <w:szCs w:val="20"/>
        </w:rPr>
        <w:t xml:space="preserve"> investment </w:t>
      </w:r>
      <w:r w:rsidR="003607D8">
        <w:rPr>
          <w:rFonts w:ascii="Arial" w:hAnsi="Arial" w:cs="Arial"/>
          <w:sz w:val="20"/>
          <w:szCs w:val="20"/>
        </w:rPr>
        <w:t>is short for the investment, other resources will be taken</w:t>
      </w:r>
    </w:p>
    <w:p w:rsidR="003607D8" w:rsidRDefault="00ED4564" w:rsidP="00ED456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D4564">
        <w:rPr>
          <w:rFonts w:ascii="Arial" w:hAnsi="Arial" w:cs="Arial"/>
          <w:sz w:val="20"/>
          <w:szCs w:val="20"/>
        </w:rPr>
        <w:t>10. Approving</w:t>
      </w:r>
      <w:r w:rsidR="003607D8">
        <w:rPr>
          <w:rFonts w:ascii="Arial" w:hAnsi="Arial" w:cs="Arial"/>
          <w:sz w:val="20"/>
          <w:szCs w:val="20"/>
        </w:rPr>
        <w:t xml:space="preserve"> the amendment and supplement to</w:t>
      </w:r>
      <w:r w:rsidRPr="00ED4564">
        <w:rPr>
          <w:rFonts w:ascii="Arial" w:hAnsi="Arial" w:cs="Arial"/>
          <w:sz w:val="20"/>
          <w:szCs w:val="20"/>
        </w:rPr>
        <w:t xml:space="preserve"> the Charter on organization and operation of Dong </w:t>
      </w:r>
      <w:proofErr w:type="spellStart"/>
      <w:r w:rsidRPr="00ED4564">
        <w:rPr>
          <w:rFonts w:ascii="Arial" w:hAnsi="Arial" w:cs="Arial"/>
          <w:sz w:val="20"/>
          <w:szCs w:val="20"/>
        </w:rPr>
        <w:t>Nai</w:t>
      </w:r>
      <w:proofErr w:type="spellEnd"/>
      <w:r w:rsidRPr="00ED4564">
        <w:rPr>
          <w:rFonts w:ascii="Arial" w:hAnsi="Arial" w:cs="Arial"/>
          <w:sz w:val="20"/>
          <w:szCs w:val="20"/>
        </w:rPr>
        <w:t xml:space="preserve"> Phar</w:t>
      </w:r>
      <w:r w:rsidR="003607D8">
        <w:rPr>
          <w:rFonts w:ascii="Arial" w:hAnsi="Arial" w:cs="Arial"/>
          <w:sz w:val="20"/>
          <w:szCs w:val="20"/>
        </w:rPr>
        <w:t>maceutical Joint Stock Company</w:t>
      </w:r>
    </w:p>
    <w:p w:rsidR="003607D8" w:rsidRDefault="00ED4564" w:rsidP="00ED456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D4564">
        <w:rPr>
          <w:rFonts w:ascii="Arial" w:hAnsi="Arial" w:cs="Arial"/>
          <w:sz w:val="20"/>
          <w:szCs w:val="20"/>
        </w:rPr>
        <w:t xml:space="preserve">11. </w:t>
      </w:r>
      <w:r w:rsidR="003607D8">
        <w:rPr>
          <w:rFonts w:ascii="Arial" w:hAnsi="Arial" w:cs="Arial"/>
          <w:sz w:val="20"/>
          <w:szCs w:val="20"/>
        </w:rPr>
        <w:t>Approve authorization for</w:t>
      </w:r>
      <w:r w:rsidRPr="00ED4564">
        <w:rPr>
          <w:rFonts w:ascii="Arial" w:hAnsi="Arial" w:cs="Arial"/>
          <w:sz w:val="20"/>
          <w:szCs w:val="20"/>
        </w:rPr>
        <w:t xml:space="preserve"> the Board of Directors to sign contracts and transactions with subjects specified in Clause 1, Artic</w:t>
      </w:r>
      <w:r w:rsidR="003607D8">
        <w:rPr>
          <w:rFonts w:ascii="Arial" w:hAnsi="Arial" w:cs="Arial"/>
          <w:sz w:val="20"/>
          <w:szCs w:val="20"/>
        </w:rPr>
        <w:t xml:space="preserve">le 162 of the Law on Enterprise with </w:t>
      </w:r>
      <w:r w:rsidRPr="00ED4564">
        <w:rPr>
          <w:rFonts w:ascii="Arial" w:hAnsi="Arial" w:cs="Arial"/>
          <w:sz w:val="20"/>
          <w:szCs w:val="20"/>
        </w:rPr>
        <w:t>value equal to or greater than 35% of the total</w:t>
      </w:r>
      <w:r w:rsidR="003607D8">
        <w:rPr>
          <w:rFonts w:ascii="Arial" w:hAnsi="Arial" w:cs="Arial"/>
          <w:sz w:val="20"/>
          <w:szCs w:val="20"/>
        </w:rPr>
        <w:t xml:space="preserve"> value of the Company's assets </w:t>
      </w:r>
      <w:r w:rsidRPr="00ED4564">
        <w:rPr>
          <w:rFonts w:ascii="Arial" w:hAnsi="Arial" w:cs="Arial"/>
          <w:sz w:val="20"/>
          <w:szCs w:val="20"/>
        </w:rPr>
        <w:t xml:space="preserve">recorded in </w:t>
      </w:r>
      <w:r w:rsidR="003607D8">
        <w:rPr>
          <w:rFonts w:ascii="Arial" w:hAnsi="Arial" w:cs="Arial"/>
          <w:sz w:val="20"/>
          <w:szCs w:val="20"/>
        </w:rPr>
        <w:t>the latest financial statement</w:t>
      </w:r>
    </w:p>
    <w:p w:rsidR="003607D8" w:rsidRDefault="003607D8" w:rsidP="00ED456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2:</w:t>
      </w:r>
      <w:r w:rsidR="00ED4564" w:rsidRPr="00ED4564">
        <w:rPr>
          <w:rFonts w:ascii="Arial" w:hAnsi="Arial" w:cs="Arial"/>
          <w:sz w:val="20"/>
          <w:szCs w:val="20"/>
        </w:rPr>
        <w:t xml:space="preserve"> Implementing provisions </w:t>
      </w:r>
    </w:p>
    <w:p w:rsidR="003607D8" w:rsidRDefault="00ED4564" w:rsidP="00ED456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D4564">
        <w:rPr>
          <w:rFonts w:ascii="Arial" w:hAnsi="Arial" w:cs="Arial"/>
          <w:sz w:val="20"/>
          <w:szCs w:val="20"/>
        </w:rPr>
        <w:t xml:space="preserve">1. The Board of Directors is responsible for directing and organizing the implementation </w:t>
      </w:r>
      <w:r w:rsidR="003607D8">
        <w:rPr>
          <w:rFonts w:ascii="Arial" w:hAnsi="Arial" w:cs="Arial"/>
          <w:sz w:val="20"/>
          <w:szCs w:val="20"/>
        </w:rPr>
        <w:t>of the contents stated in this General Mandate</w:t>
      </w:r>
      <w:r w:rsidRPr="00ED4564">
        <w:rPr>
          <w:rFonts w:ascii="Arial" w:hAnsi="Arial" w:cs="Arial"/>
          <w:sz w:val="20"/>
          <w:szCs w:val="20"/>
        </w:rPr>
        <w:t xml:space="preserve"> strictly according to the law </w:t>
      </w:r>
      <w:r w:rsidR="003607D8">
        <w:rPr>
          <w:rFonts w:ascii="Arial" w:hAnsi="Arial" w:cs="Arial"/>
          <w:sz w:val="20"/>
          <w:szCs w:val="20"/>
        </w:rPr>
        <w:t>and the Charter of the Company</w:t>
      </w:r>
    </w:p>
    <w:p w:rsidR="003607D8" w:rsidRDefault="00ED4564" w:rsidP="00ED456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D4564">
        <w:rPr>
          <w:rFonts w:ascii="Arial" w:hAnsi="Arial" w:cs="Arial"/>
          <w:sz w:val="20"/>
          <w:szCs w:val="20"/>
        </w:rPr>
        <w:lastRenderedPageBreak/>
        <w:t xml:space="preserve">2. The </w:t>
      </w:r>
      <w:r w:rsidR="003607D8">
        <w:rPr>
          <w:rFonts w:ascii="Arial" w:hAnsi="Arial" w:cs="Arial"/>
          <w:sz w:val="20"/>
          <w:szCs w:val="20"/>
        </w:rPr>
        <w:t>Supervisor Board is</w:t>
      </w:r>
      <w:r w:rsidRPr="00ED4564">
        <w:rPr>
          <w:rFonts w:ascii="Arial" w:hAnsi="Arial" w:cs="Arial"/>
          <w:sz w:val="20"/>
          <w:szCs w:val="20"/>
        </w:rPr>
        <w:t xml:space="preserve"> responsible for inspecting and supervising the implementation of the </w:t>
      </w:r>
      <w:r w:rsidR="003607D8">
        <w:rPr>
          <w:rFonts w:ascii="Arial" w:hAnsi="Arial" w:cs="Arial"/>
          <w:sz w:val="20"/>
          <w:szCs w:val="20"/>
        </w:rPr>
        <w:t>General Mandate</w:t>
      </w:r>
      <w:r w:rsidRPr="00ED4564">
        <w:rPr>
          <w:rFonts w:ascii="Arial" w:hAnsi="Arial" w:cs="Arial"/>
          <w:sz w:val="20"/>
          <w:szCs w:val="20"/>
        </w:rPr>
        <w:t xml:space="preserve"> in accordance with the </w:t>
      </w:r>
      <w:r w:rsidR="003607D8">
        <w:rPr>
          <w:rFonts w:ascii="Arial" w:hAnsi="Arial" w:cs="Arial"/>
          <w:sz w:val="20"/>
          <w:szCs w:val="20"/>
        </w:rPr>
        <w:t>law and the Company's Charter</w:t>
      </w:r>
    </w:p>
    <w:p w:rsidR="003607D8" w:rsidRDefault="00ED4564" w:rsidP="00ED456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D4564">
        <w:rPr>
          <w:rFonts w:ascii="Arial" w:hAnsi="Arial" w:cs="Arial"/>
          <w:sz w:val="20"/>
          <w:szCs w:val="20"/>
        </w:rPr>
        <w:t xml:space="preserve">3. This Resolution is approved by the Annual General Meeting of Shareholders of Dong </w:t>
      </w:r>
      <w:proofErr w:type="spellStart"/>
      <w:r w:rsidRPr="00ED4564">
        <w:rPr>
          <w:rFonts w:ascii="Arial" w:hAnsi="Arial" w:cs="Arial"/>
          <w:sz w:val="20"/>
          <w:szCs w:val="20"/>
        </w:rPr>
        <w:t>Nai</w:t>
      </w:r>
      <w:proofErr w:type="spellEnd"/>
      <w:r w:rsidRPr="00ED4564">
        <w:rPr>
          <w:rFonts w:ascii="Arial" w:hAnsi="Arial" w:cs="Arial"/>
          <w:sz w:val="20"/>
          <w:szCs w:val="20"/>
        </w:rPr>
        <w:t xml:space="preserve"> Pharmaceutical Joint Stock Company in accordance with the </w:t>
      </w:r>
      <w:r w:rsidR="003607D8">
        <w:rPr>
          <w:rFonts w:ascii="Arial" w:hAnsi="Arial" w:cs="Arial"/>
          <w:sz w:val="20"/>
          <w:szCs w:val="20"/>
        </w:rPr>
        <w:t>law and the Company's Charter</w:t>
      </w:r>
    </w:p>
    <w:p w:rsidR="00ED4564" w:rsidRPr="00ED4564" w:rsidRDefault="00ED4564" w:rsidP="00ED456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D4564">
        <w:rPr>
          <w:rFonts w:ascii="Arial" w:hAnsi="Arial" w:cs="Arial"/>
          <w:sz w:val="20"/>
          <w:szCs w:val="20"/>
        </w:rPr>
        <w:t xml:space="preserve">This Resolution takes effect from the date of </w:t>
      </w:r>
      <w:r w:rsidR="003607D8">
        <w:rPr>
          <w:rFonts w:ascii="Arial" w:hAnsi="Arial" w:cs="Arial"/>
          <w:sz w:val="20"/>
          <w:szCs w:val="20"/>
        </w:rPr>
        <w:t>signing</w:t>
      </w:r>
      <w:bookmarkStart w:id="0" w:name="_GoBack"/>
      <w:bookmarkEnd w:id="0"/>
    </w:p>
    <w:sectPr w:rsidR="00ED4564" w:rsidRPr="00ED45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6127"/>
    <w:rsid w:val="00012C59"/>
    <w:rsid w:val="00013D2F"/>
    <w:rsid w:val="00016249"/>
    <w:rsid w:val="00022287"/>
    <w:rsid w:val="00024506"/>
    <w:rsid w:val="000266C2"/>
    <w:rsid w:val="00035DA5"/>
    <w:rsid w:val="000365C1"/>
    <w:rsid w:val="00050E3D"/>
    <w:rsid w:val="000603A9"/>
    <w:rsid w:val="000A0B74"/>
    <w:rsid w:val="000A26AD"/>
    <w:rsid w:val="000B3E4A"/>
    <w:rsid w:val="000D20D4"/>
    <w:rsid w:val="000D2825"/>
    <w:rsid w:val="000E21EB"/>
    <w:rsid w:val="000E4CD5"/>
    <w:rsid w:val="000E518E"/>
    <w:rsid w:val="000E71F4"/>
    <w:rsid w:val="00100641"/>
    <w:rsid w:val="00130BD3"/>
    <w:rsid w:val="00132EC5"/>
    <w:rsid w:val="00137F24"/>
    <w:rsid w:val="00140C63"/>
    <w:rsid w:val="00141ED4"/>
    <w:rsid w:val="00146DCF"/>
    <w:rsid w:val="00160B60"/>
    <w:rsid w:val="0016411D"/>
    <w:rsid w:val="00167E2F"/>
    <w:rsid w:val="001747CD"/>
    <w:rsid w:val="001B25AA"/>
    <w:rsid w:val="001B2E11"/>
    <w:rsid w:val="001C0563"/>
    <w:rsid w:val="001E03D4"/>
    <w:rsid w:val="001F34A1"/>
    <w:rsid w:val="001F6744"/>
    <w:rsid w:val="002128E5"/>
    <w:rsid w:val="00216A5D"/>
    <w:rsid w:val="00221EC5"/>
    <w:rsid w:val="00225894"/>
    <w:rsid w:val="00230F26"/>
    <w:rsid w:val="00232199"/>
    <w:rsid w:val="00265ECA"/>
    <w:rsid w:val="00296BF9"/>
    <w:rsid w:val="002B19B9"/>
    <w:rsid w:val="002B42CC"/>
    <w:rsid w:val="002C23E5"/>
    <w:rsid w:val="002C36A5"/>
    <w:rsid w:val="002D481A"/>
    <w:rsid w:val="002D4939"/>
    <w:rsid w:val="002D53EE"/>
    <w:rsid w:val="002E0C30"/>
    <w:rsid w:val="002E21E7"/>
    <w:rsid w:val="002E43D7"/>
    <w:rsid w:val="002E7FD0"/>
    <w:rsid w:val="002F5BA8"/>
    <w:rsid w:val="002F7125"/>
    <w:rsid w:val="00304722"/>
    <w:rsid w:val="0032185B"/>
    <w:rsid w:val="00322258"/>
    <w:rsid w:val="00327CF7"/>
    <w:rsid w:val="0033774A"/>
    <w:rsid w:val="0035197A"/>
    <w:rsid w:val="00351FF8"/>
    <w:rsid w:val="00353428"/>
    <w:rsid w:val="00357CCB"/>
    <w:rsid w:val="0036071A"/>
    <w:rsid w:val="003607D8"/>
    <w:rsid w:val="0037607E"/>
    <w:rsid w:val="00397004"/>
    <w:rsid w:val="003A0ECB"/>
    <w:rsid w:val="003A561D"/>
    <w:rsid w:val="003A5CE9"/>
    <w:rsid w:val="003B73F7"/>
    <w:rsid w:val="003C1805"/>
    <w:rsid w:val="003C4606"/>
    <w:rsid w:val="003D59CA"/>
    <w:rsid w:val="003E034B"/>
    <w:rsid w:val="00403A9C"/>
    <w:rsid w:val="00406881"/>
    <w:rsid w:val="0040712C"/>
    <w:rsid w:val="004263B2"/>
    <w:rsid w:val="004264BA"/>
    <w:rsid w:val="0042783A"/>
    <w:rsid w:val="00440BF3"/>
    <w:rsid w:val="004512F0"/>
    <w:rsid w:val="004530A7"/>
    <w:rsid w:val="00453C9C"/>
    <w:rsid w:val="00467BC0"/>
    <w:rsid w:val="0047038B"/>
    <w:rsid w:val="00490B2B"/>
    <w:rsid w:val="00496733"/>
    <w:rsid w:val="004B2BA6"/>
    <w:rsid w:val="004C0412"/>
    <w:rsid w:val="004D016D"/>
    <w:rsid w:val="004D4171"/>
    <w:rsid w:val="004E4C16"/>
    <w:rsid w:val="004F29BA"/>
    <w:rsid w:val="00503DD6"/>
    <w:rsid w:val="00505065"/>
    <w:rsid w:val="0051550B"/>
    <w:rsid w:val="0052379D"/>
    <w:rsid w:val="00530C53"/>
    <w:rsid w:val="00547232"/>
    <w:rsid w:val="0055067A"/>
    <w:rsid w:val="0055137D"/>
    <w:rsid w:val="005610CB"/>
    <w:rsid w:val="005728E5"/>
    <w:rsid w:val="00575D6C"/>
    <w:rsid w:val="00576A91"/>
    <w:rsid w:val="005771F6"/>
    <w:rsid w:val="0057722E"/>
    <w:rsid w:val="0058434E"/>
    <w:rsid w:val="005906FC"/>
    <w:rsid w:val="00595D36"/>
    <w:rsid w:val="005B40E5"/>
    <w:rsid w:val="005D5EDB"/>
    <w:rsid w:val="005E105A"/>
    <w:rsid w:val="005E6721"/>
    <w:rsid w:val="006000D8"/>
    <w:rsid w:val="00601895"/>
    <w:rsid w:val="0061306A"/>
    <w:rsid w:val="00627358"/>
    <w:rsid w:val="0063035E"/>
    <w:rsid w:val="0063242E"/>
    <w:rsid w:val="006374A1"/>
    <w:rsid w:val="00662D37"/>
    <w:rsid w:val="006838B7"/>
    <w:rsid w:val="00686FBE"/>
    <w:rsid w:val="00695ACD"/>
    <w:rsid w:val="006A2523"/>
    <w:rsid w:val="006A4FD8"/>
    <w:rsid w:val="006B04E8"/>
    <w:rsid w:val="006B36E8"/>
    <w:rsid w:val="006B635A"/>
    <w:rsid w:val="006E0687"/>
    <w:rsid w:val="006E15A6"/>
    <w:rsid w:val="006E5E99"/>
    <w:rsid w:val="006F162C"/>
    <w:rsid w:val="006F2B51"/>
    <w:rsid w:val="00710F35"/>
    <w:rsid w:val="00714CF6"/>
    <w:rsid w:val="00732DC3"/>
    <w:rsid w:val="007336C9"/>
    <w:rsid w:val="00744587"/>
    <w:rsid w:val="00745D9A"/>
    <w:rsid w:val="00750F3E"/>
    <w:rsid w:val="00751242"/>
    <w:rsid w:val="00763BA6"/>
    <w:rsid w:val="0077136F"/>
    <w:rsid w:val="0077456B"/>
    <w:rsid w:val="00777C64"/>
    <w:rsid w:val="00781EB4"/>
    <w:rsid w:val="0078219D"/>
    <w:rsid w:val="007A072F"/>
    <w:rsid w:val="007A1FCC"/>
    <w:rsid w:val="007B07E7"/>
    <w:rsid w:val="007B3F9D"/>
    <w:rsid w:val="007B67AF"/>
    <w:rsid w:val="007C13C6"/>
    <w:rsid w:val="007E071A"/>
    <w:rsid w:val="007E0993"/>
    <w:rsid w:val="007E4506"/>
    <w:rsid w:val="007E4CA4"/>
    <w:rsid w:val="007F298E"/>
    <w:rsid w:val="00806DA7"/>
    <w:rsid w:val="008134FC"/>
    <w:rsid w:val="00837771"/>
    <w:rsid w:val="0084142F"/>
    <w:rsid w:val="0084485C"/>
    <w:rsid w:val="00853748"/>
    <w:rsid w:val="008544C2"/>
    <w:rsid w:val="00857249"/>
    <w:rsid w:val="008626C9"/>
    <w:rsid w:val="008844CB"/>
    <w:rsid w:val="00884B9C"/>
    <w:rsid w:val="00891DAF"/>
    <w:rsid w:val="00897D81"/>
    <w:rsid w:val="008A5F4A"/>
    <w:rsid w:val="008C156B"/>
    <w:rsid w:val="008C7A42"/>
    <w:rsid w:val="008E51C4"/>
    <w:rsid w:val="00917106"/>
    <w:rsid w:val="00923467"/>
    <w:rsid w:val="009258BE"/>
    <w:rsid w:val="00937D79"/>
    <w:rsid w:val="00965014"/>
    <w:rsid w:val="00981275"/>
    <w:rsid w:val="0098256C"/>
    <w:rsid w:val="009C28F2"/>
    <w:rsid w:val="009D7A09"/>
    <w:rsid w:val="009E0E29"/>
    <w:rsid w:val="009E1744"/>
    <w:rsid w:val="009E71CB"/>
    <w:rsid w:val="009F40C1"/>
    <w:rsid w:val="00A01930"/>
    <w:rsid w:val="00A06443"/>
    <w:rsid w:val="00A06521"/>
    <w:rsid w:val="00A128FC"/>
    <w:rsid w:val="00A33B01"/>
    <w:rsid w:val="00A34999"/>
    <w:rsid w:val="00A45C9D"/>
    <w:rsid w:val="00A45CC6"/>
    <w:rsid w:val="00A4710B"/>
    <w:rsid w:val="00A51F8D"/>
    <w:rsid w:val="00A63B6C"/>
    <w:rsid w:val="00A70462"/>
    <w:rsid w:val="00A71A1E"/>
    <w:rsid w:val="00A830AE"/>
    <w:rsid w:val="00A87ED0"/>
    <w:rsid w:val="00A9229B"/>
    <w:rsid w:val="00AA54AD"/>
    <w:rsid w:val="00AB2C99"/>
    <w:rsid w:val="00AB32F6"/>
    <w:rsid w:val="00AC4F64"/>
    <w:rsid w:val="00AC6BEF"/>
    <w:rsid w:val="00AE6E83"/>
    <w:rsid w:val="00AF67BE"/>
    <w:rsid w:val="00B04704"/>
    <w:rsid w:val="00B21CC3"/>
    <w:rsid w:val="00B41327"/>
    <w:rsid w:val="00B44710"/>
    <w:rsid w:val="00B46C41"/>
    <w:rsid w:val="00B70D7E"/>
    <w:rsid w:val="00B7158A"/>
    <w:rsid w:val="00B82EF6"/>
    <w:rsid w:val="00B85BCA"/>
    <w:rsid w:val="00B97BD2"/>
    <w:rsid w:val="00B97E0D"/>
    <w:rsid w:val="00BA1F12"/>
    <w:rsid w:val="00BA3FB7"/>
    <w:rsid w:val="00BB149F"/>
    <w:rsid w:val="00BB2980"/>
    <w:rsid w:val="00BD3CCA"/>
    <w:rsid w:val="00BD6E49"/>
    <w:rsid w:val="00BE0C1C"/>
    <w:rsid w:val="00BE14E8"/>
    <w:rsid w:val="00BE4430"/>
    <w:rsid w:val="00BF0485"/>
    <w:rsid w:val="00C1009E"/>
    <w:rsid w:val="00C220E2"/>
    <w:rsid w:val="00C2280B"/>
    <w:rsid w:val="00C26F1A"/>
    <w:rsid w:val="00C32F3A"/>
    <w:rsid w:val="00C33F82"/>
    <w:rsid w:val="00C36031"/>
    <w:rsid w:val="00C37FDB"/>
    <w:rsid w:val="00C57563"/>
    <w:rsid w:val="00C61EAF"/>
    <w:rsid w:val="00C64547"/>
    <w:rsid w:val="00C65003"/>
    <w:rsid w:val="00C7067B"/>
    <w:rsid w:val="00C940B5"/>
    <w:rsid w:val="00CA117B"/>
    <w:rsid w:val="00CA1BB3"/>
    <w:rsid w:val="00CA22DF"/>
    <w:rsid w:val="00CB62A1"/>
    <w:rsid w:val="00CD1E44"/>
    <w:rsid w:val="00CE40C1"/>
    <w:rsid w:val="00D05AAD"/>
    <w:rsid w:val="00D13079"/>
    <w:rsid w:val="00D340E2"/>
    <w:rsid w:val="00D372E3"/>
    <w:rsid w:val="00D415AC"/>
    <w:rsid w:val="00D455F3"/>
    <w:rsid w:val="00D47ED3"/>
    <w:rsid w:val="00D503EA"/>
    <w:rsid w:val="00D51595"/>
    <w:rsid w:val="00D52C26"/>
    <w:rsid w:val="00D651E1"/>
    <w:rsid w:val="00D70E73"/>
    <w:rsid w:val="00D74339"/>
    <w:rsid w:val="00D77F89"/>
    <w:rsid w:val="00D831C0"/>
    <w:rsid w:val="00D8410E"/>
    <w:rsid w:val="00D90A4E"/>
    <w:rsid w:val="00D92955"/>
    <w:rsid w:val="00D92EFF"/>
    <w:rsid w:val="00D958D6"/>
    <w:rsid w:val="00DA3531"/>
    <w:rsid w:val="00DA3891"/>
    <w:rsid w:val="00DA54D0"/>
    <w:rsid w:val="00DB5EDC"/>
    <w:rsid w:val="00DC129B"/>
    <w:rsid w:val="00DD1205"/>
    <w:rsid w:val="00DD263A"/>
    <w:rsid w:val="00DD4D24"/>
    <w:rsid w:val="00DE2ED1"/>
    <w:rsid w:val="00DE5C3C"/>
    <w:rsid w:val="00DF4180"/>
    <w:rsid w:val="00DF739B"/>
    <w:rsid w:val="00E13C77"/>
    <w:rsid w:val="00E16D8D"/>
    <w:rsid w:val="00E24D88"/>
    <w:rsid w:val="00E24F0A"/>
    <w:rsid w:val="00E24F9B"/>
    <w:rsid w:val="00E254DD"/>
    <w:rsid w:val="00E51C91"/>
    <w:rsid w:val="00E51F4E"/>
    <w:rsid w:val="00E5565D"/>
    <w:rsid w:val="00E76EEC"/>
    <w:rsid w:val="00E80D5C"/>
    <w:rsid w:val="00E832E4"/>
    <w:rsid w:val="00E94495"/>
    <w:rsid w:val="00E96D65"/>
    <w:rsid w:val="00EB4672"/>
    <w:rsid w:val="00ED4564"/>
    <w:rsid w:val="00ED6D41"/>
    <w:rsid w:val="00EE3928"/>
    <w:rsid w:val="00EE4E03"/>
    <w:rsid w:val="00EE6F18"/>
    <w:rsid w:val="00EF091F"/>
    <w:rsid w:val="00F00F1D"/>
    <w:rsid w:val="00F074C3"/>
    <w:rsid w:val="00F272CE"/>
    <w:rsid w:val="00F3012E"/>
    <w:rsid w:val="00F320D6"/>
    <w:rsid w:val="00F33967"/>
    <w:rsid w:val="00F360CB"/>
    <w:rsid w:val="00F411EA"/>
    <w:rsid w:val="00F514ED"/>
    <w:rsid w:val="00F62F9C"/>
    <w:rsid w:val="00F74558"/>
    <w:rsid w:val="00F74775"/>
    <w:rsid w:val="00F8681C"/>
    <w:rsid w:val="00F86F7A"/>
    <w:rsid w:val="00F903A5"/>
    <w:rsid w:val="00F961EB"/>
    <w:rsid w:val="00FA631A"/>
    <w:rsid w:val="00FC153A"/>
    <w:rsid w:val="00FC29DB"/>
    <w:rsid w:val="00FD3EED"/>
    <w:rsid w:val="00FD4001"/>
    <w:rsid w:val="00FE1016"/>
    <w:rsid w:val="00FE1D49"/>
    <w:rsid w:val="00FE5A51"/>
    <w:rsid w:val="00FF1161"/>
    <w:rsid w:val="00FF4421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D6C96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1605</TotalTime>
  <Pages>1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Admin</cp:lastModifiedBy>
  <cp:revision>261</cp:revision>
  <dcterms:created xsi:type="dcterms:W3CDTF">2019-10-16T10:03:00Z</dcterms:created>
  <dcterms:modified xsi:type="dcterms:W3CDTF">2020-05-21T15:56:00Z</dcterms:modified>
</cp:coreProperties>
</file>